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8D08" w14:textId="77777777" w:rsidR="001A6424" w:rsidRDefault="001A6424">
      <w:pPr>
        <w:widowControl/>
        <w:ind w:right="560"/>
        <w:jc w:val="center"/>
        <w:rPr>
          <w:rFonts w:ascii="Tahoma" w:hAnsi="Tahoma" w:cs="Tahoma"/>
          <w:b/>
          <w:color w:val="444444"/>
          <w:kern w:val="0"/>
          <w:sz w:val="32"/>
          <w:szCs w:val="32"/>
        </w:rPr>
      </w:pPr>
      <w:bookmarkStart w:id="0" w:name="_Hlk118966555"/>
    </w:p>
    <w:p w14:paraId="0AAC29F3" w14:textId="77777777" w:rsidR="001A6424" w:rsidRDefault="00000000">
      <w:pPr>
        <w:widowControl/>
        <w:ind w:right="560"/>
        <w:jc w:val="center"/>
        <w:rPr>
          <w:rFonts w:ascii="Tahoma" w:hAnsi="Tahoma" w:cs="Tahoma"/>
          <w:b/>
          <w:color w:val="444444"/>
          <w:kern w:val="0"/>
          <w:sz w:val="32"/>
          <w:szCs w:val="32"/>
        </w:rPr>
      </w:pPr>
      <w:r>
        <w:rPr>
          <w:rFonts w:ascii="Tahoma" w:hAnsi="Tahoma" w:cs="Tahoma" w:hint="eastAsia"/>
          <w:b/>
          <w:color w:val="444444"/>
          <w:kern w:val="0"/>
          <w:sz w:val="32"/>
          <w:szCs w:val="32"/>
        </w:rPr>
        <w:t>危险品运输保函</w:t>
      </w:r>
    </w:p>
    <w:p w14:paraId="09D2120B" w14:textId="77777777" w:rsidR="001A6424" w:rsidRDefault="00000000">
      <w:pPr>
        <w:rPr>
          <w:u w:val="single"/>
        </w:rPr>
      </w:pPr>
      <w:r>
        <w:rPr>
          <w:rFonts w:hint="eastAsia"/>
        </w:rPr>
        <w:t>致：</w:t>
      </w:r>
      <w:r>
        <w:rPr>
          <w:u w:val="single"/>
        </w:rPr>
        <w:t xml:space="preserve">               </w:t>
      </w:r>
    </w:p>
    <w:p w14:paraId="5B0AF465" w14:textId="77777777" w:rsidR="001A6424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关单号：</w:t>
      </w:r>
      <w:r>
        <w:rPr>
          <w:szCs w:val="21"/>
          <w:u w:val="single"/>
        </w:rPr>
        <w:t xml:space="preserve">                       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提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运单号：</w:t>
      </w:r>
      <w:r>
        <w:rPr>
          <w:szCs w:val="21"/>
          <w:u w:val="single"/>
        </w:rPr>
        <w:t xml:space="preserve">                        </w:t>
      </w:r>
    </w:p>
    <w:p w14:paraId="4E4EB16B" w14:textId="77777777" w:rsidR="001A6424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船名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航次：</w:t>
      </w:r>
      <w:r>
        <w:rPr>
          <w:szCs w:val="21"/>
          <w:u w:val="single"/>
        </w:rPr>
        <w:t xml:space="preserve">                    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箱型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箱量：</w:t>
      </w:r>
      <w:r>
        <w:rPr>
          <w:rFonts w:ascii="宋体" w:hAnsi="宋体" w:hint="eastAsia"/>
          <w:szCs w:val="21"/>
          <w:u w:val="single"/>
        </w:rPr>
        <w:t xml:space="preserve">                        </w:t>
      </w:r>
    </w:p>
    <w:p w14:paraId="3BF929F1" w14:textId="77777777" w:rsidR="001A6424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托运人：</w:t>
      </w:r>
      <w:r>
        <w:rPr>
          <w:szCs w:val="21"/>
          <w:u w:val="single"/>
        </w:rPr>
        <w:t xml:space="preserve">                       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收货人：</w:t>
      </w:r>
      <w:r>
        <w:rPr>
          <w:szCs w:val="21"/>
          <w:u w:val="single"/>
        </w:rPr>
        <w:t xml:space="preserve">                           </w:t>
      </w:r>
    </w:p>
    <w:p w14:paraId="60CAD4BF" w14:textId="77777777" w:rsidR="001A6424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装货港：</w:t>
      </w:r>
      <w:r>
        <w:rPr>
          <w:szCs w:val="21"/>
          <w:u w:val="single"/>
        </w:rPr>
        <w:t xml:space="preserve">                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卸货港：</w:t>
      </w:r>
      <w:r>
        <w:rPr>
          <w:szCs w:val="21"/>
          <w:u w:val="single"/>
        </w:rPr>
        <w:t xml:space="preserve">                           </w:t>
      </w:r>
    </w:p>
    <w:p w14:paraId="60508731" w14:textId="77777777" w:rsidR="001A6424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货物英文品名：</w:t>
      </w:r>
      <w:r>
        <w:rPr>
          <w:szCs w:val="21"/>
          <w:u w:val="single"/>
        </w:rPr>
        <w:t xml:space="preserve">                 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货物中文品名：</w:t>
      </w:r>
      <w:r>
        <w:rPr>
          <w:szCs w:val="21"/>
          <w:u w:val="single"/>
        </w:rPr>
        <w:t xml:space="preserve">                     </w:t>
      </w:r>
    </w:p>
    <w:p w14:paraId="0C5F3A8C" w14:textId="77777777" w:rsidR="001A6424" w:rsidRDefault="00000000">
      <w:pPr>
        <w:spacing w:line="360" w:lineRule="exact"/>
        <w:rPr>
          <w:rFonts w:ascii="Arial" w:hAnsi="Arial" w:cs="Arial"/>
          <w:szCs w:val="21"/>
        </w:rPr>
      </w:pPr>
      <w:r>
        <w:rPr>
          <w:rFonts w:ascii="宋体" w:hAnsi="宋体" w:hint="eastAsia"/>
          <w:szCs w:val="21"/>
        </w:rPr>
        <w:t>货物件数：</w:t>
      </w:r>
      <w:r>
        <w:rPr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hint="eastAsia"/>
          <w:szCs w:val="21"/>
        </w:rPr>
        <w:t>货物包装：</w:t>
      </w:r>
      <w:r>
        <w:rPr>
          <w:szCs w:val="21"/>
          <w:u w:val="single"/>
        </w:rPr>
        <w:t xml:space="preserve">                         </w:t>
      </w:r>
    </w:p>
    <w:p w14:paraId="3C55B4DF" w14:textId="77777777" w:rsidR="001A6424" w:rsidRDefault="00000000">
      <w:pPr>
        <w:spacing w:line="360" w:lineRule="exact"/>
        <w:rPr>
          <w:rFonts w:ascii="Calibri" w:hAnsi="Calibri" w:cs="Times New Roman"/>
          <w:szCs w:val="21"/>
        </w:rPr>
      </w:pPr>
      <w:r>
        <w:rPr>
          <w:rFonts w:hint="eastAsia"/>
          <w:szCs w:val="21"/>
        </w:rPr>
        <w:t>货物毛重：</w:t>
      </w:r>
      <w:r>
        <w:rPr>
          <w:szCs w:val="21"/>
          <w:u w:val="single"/>
        </w:rPr>
        <w:t xml:space="preserve">                  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货物净重：</w:t>
      </w:r>
      <w:r>
        <w:rPr>
          <w:szCs w:val="21"/>
          <w:u w:val="single"/>
        </w:rPr>
        <w:t xml:space="preserve">                         </w:t>
      </w:r>
    </w:p>
    <w:p w14:paraId="3F08A8B4" w14:textId="77777777" w:rsidR="001A6424" w:rsidRDefault="001A6424"/>
    <w:p w14:paraId="4A3CC520" w14:textId="2B0A25FD" w:rsidR="001A6424" w:rsidRDefault="00000000">
      <w:r>
        <w:rPr>
          <w:rFonts w:hint="eastAsia"/>
          <w:szCs w:val="21"/>
        </w:rPr>
        <w:t>上述货物系由本公司作为托运人出口至卸货港。本公司特此声明并保证，</w:t>
      </w:r>
      <w:r>
        <w:rPr>
          <w:rFonts w:hint="eastAsia"/>
        </w:rPr>
        <w:t>本公司充分了解目的港</w:t>
      </w:r>
      <w:r w:rsidR="003148D3">
        <w:rPr>
          <w:rFonts w:hint="eastAsia"/>
        </w:rPr>
        <w:t>J</w:t>
      </w:r>
      <w:r w:rsidR="003148D3">
        <w:t xml:space="preserve">ORDAN </w:t>
      </w:r>
      <w:r w:rsidR="003148D3">
        <w:rPr>
          <w:rFonts w:ascii="Arial" w:hAnsi="Arial" w:cs="Arial"/>
          <w:sz w:val="18"/>
          <w:szCs w:val="18"/>
        </w:rPr>
        <w:t>AL'AQABAH</w:t>
      </w:r>
      <w:r>
        <w:rPr>
          <w:rFonts w:hint="eastAsia"/>
        </w:rPr>
        <w:t>就本次运输货物相关的提货政策、清关政策及流通政策（包括但不限于当地法律、法规、行政指令、政府命令、政府措施、行业惯例、政策指引、临时措施在内的任何可能直接或</w:t>
      </w:r>
      <w:proofErr w:type="gramStart"/>
      <w:r>
        <w:rPr>
          <w:rFonts w:hint="eastAsia"/>
        </w:rPr>
        <w:t>间接会</w:t>
      </w:r>
      <w:proofErr w:type="gramEnd"/>
      <w:r>
        <w:rPr>
          <w:rFonts w:hint="eastAsia"/>
        </w:rPr>
        <w:t>影响货物正常提货、清关、流转的事项</w:t>
      </w:r>
      <w:r w:rsidR="000F1E66">
        <w:rPr>
          <w:rFonts w:hint="eastAsia"/>
        </w:rPr>
        <w:t>，以及因未及时清关导致延误提货或者无法安排目的港直</w:t>
      </w:r>
      <w:proofErr w:type="gramStart"/>
      <w:r w:rsidR="000F1E66">
        <w:rPr>
          <w:rFonts w:hint="eastAsia"/>
        </w:rPr>
        <w:t>提产生</w:t>
      </w:r>
      <w:proofErr w:type="gramEnd"/>
      <w:r w:rsidR="000F1E66">
        <w:rPr>
          <w:rFonts w:hint="eastAsia"/>
        </w:rPr>
        <w:t>退运或者滞留等情况</w:t>
      </w:r>
      <w:r>
        <w:rPr>
          <w:rFonts w:hint="eastAsia"/>
        </w:rPr>
        <w:t>），无论该政策存在或产生于货物出运前或货物出运后。</w:t>
      </w:r>
    </w:p>
    <w:p w14:paraId="57F52539" w14:textId="15F055FC" w:rsidR="001A6424" w:rsidRDefault="00000000">
      <w:pPr>
        <w:ind w:firstLineChars="200" w:firstLine="420"/>
        <w:rPr>
          <w:rFonts w:ascii="PMingLiU" w:eastAsia="等线" w:hAnsi="PMingLiU"/>
        </w:rPr>
      </w:pPr>
      <w:r>
        <w:rPr>
          <w:rFonts w:hint="eastAsia"/>
          <w:szCs w:val="21"/>
        </w:rPr>
        <w:t>本公司特此声明并保证</w:t>
      </w:r>
      <w:r>
        <w:rPr>
          <w:rFonts w:ascii="PMingLiU" w:eastAsia="等线" w:hAnsi="PMingLiU" w:hint="eastAsia"/>
        </w:rPr>
        <w:t>如本公司委托运输的货物无法在目的港</w:t>
      </w:r>
      <w:r w:rsidR="003148D3">
        <w:rPr>
          <w:rFonts w:hint="eastAsia"/>
        </w:rPr>
        <w:t>J</w:t>
      </w:r>
      <w:r w:rsidR="003148D3">
        <w:t xml:space="preserve">ORDAN </w:t>
      </w:r>
      <w:r w:rsidR="003148D3">
        <w:rPr>
          <w:rFonts w:ascii="Arial" w:hAnsi="Arial" w:cs="Arial"/>
          <w:sz w:val="18"/>
          <w:szCs w:val="18"/>
        </w:rPr>
        <w:t>AL'AQABAH</w:t>
      </w:r>
      <w:r>
        <w:rPr>
          <w:rFonts w:ascii="PMingLiU" w:eastAsia="等线" w:hAnsi="PMingLiU" w:hint="eastAsia"/>
        </w:rPr>
        <w:t>卸柜所导致的所产生的一切损失、风险、责任和费用（包括但不限于</w:t>
      </w:r>
      <w:r>
        <w:rPr>
          <w:rFonts w:ascii="PMingLiU" w:eastAsia="等线" w:hAnsi="PMingLiU" w:hint="eastAsia"/>
        </w:rPr>
        <w:t xml:space="preserve">: </w:t>
      </w:r>
      <w:r>
        <w:rPr>
          <w:rFonts w:ascii="PMingLiU" w:eastAsia="等线" w:hAnsi="PMingLiU"/>
        </w:rPr>
        <w:t xml:space="preserve">a. </w:t>
      </w:r>
      <w:r>
        <w:rPr>
          <w:rFonts w:ascii="PMingLiU" w:eastAsia="等线" w:hAnsi="PMingLiU" w:hint="eastAsia"/>
        </w:rPr>
        <w:t>因货物</w:t>
      </w:r>
      <w:r>
        <w:rPr>
          <w:rFonts w:ascii="PMingLiU" w:eastAsia="等线" w:hAnsi="PMingLiU"/>
        </w:rPr>
        <w:t>/</w:t>
      </w:r>
      <w:r>
        <w:rPr>
          <w:rFonts w:ascii="PMingLiU" w:eastAsia="等线" w:hAnsi="PMingLiU" w:hint="eastAsia"/>
        </w:rPr>
        <w:t>货柜无法装船出运所产生的港区费用、理货费、亏舱费、强制退关、被扣押、延误船舶开航的损失；</w:t>
      </w:r>
      <w:r>
        <w:rPr>
          <w:rFonts w:ascii="PMingLiU" w:eastAsia="等线" w:hAnsi="PMingLiU"/>
        </w:rPr>
        <w:t xml:space="preserve">b. </w:t>
      </w:r>
      <w:r>
        <w:rPr>
          <w:rFonts w:ascii="PMingLiU" w:eastAsia="等线" w:hAnsi="PMingLiU" w:hint="eastAsia"/>
        </w:rPr>
        <w:t>货物</w:t>
      </w:r>
      <w:r>
        <w:rPr>
          <w:rFonts w:ascii="PMingLiU" w:eastAsia="等线" w:hAnsi="PMingLiU"/>
        </w:rPr>
        <w:t>/</w:t>
      </w:r>
      <w:r>
        <w:rPr>
          <w:rFonts w:ascii="PMingLiU" w:eastAsia="等线" w:hAnsi="PMingLiU" w:hint="eastAsia"/>
        </w:rPr>
        <w:t>货柜装船后在目的港留置、被扣押、被退运、被转运、被销毁或其他因此在目的港产生的所有费用；</w:t>
      </w:r>
      <w:r>
        <w:rPr>
          <w:rFonts w:ascii="PMingLiU" w:eastAsia="等线" w:hAnsi="PMingLiU" w:hint="eastAsia"/>
        </w:rPr>
        <w:t>c.</w:t>
      </w:r>
      <w:r>
        <w:rPr>
          <w:rFonts w:ascii="PMingLiU" w:eastAsia="等线" w:hAnsi="PMingLiU"/>
        </w:rPr>
        <w:t>所有的海运费用，并返回原产地，以及该批货物的所有处理费用</w:t>
      </w:r>
      <w:r>
        <w:rPr>
          <w:rFonts w:ascii="PMingLiU" w:eastAsia="等线" w:hAnsi="PMingLiU" w:hint="eastAsia"/>
        </w:rPr>
        <w:t>）</w:t>
      </w:r>
      <w:r>
        <w:rPr>
          <w:rFonts w:ascii="宋体" w:hAnsi="宋体" w:hint="eastAsia"/>
          <w:szCs w:val="21"/>
        </w:rPr>
        <w:t>均由本公司承担。</w:t>
      </w:r>
    </w:p>
    <w:p w14:paraId="4A0519EE" w14:textId="77777777" w:rsidR="001A6424" w:rsidRDefault="00000000">
      <w:pPr>
        <w:spacing w:beforeLines="50" w:before="156"/>
        <w:ind w:firstLineChars="200" w:firstLine="420"/>
        <w:rPr>
          <w:rFonts w:ascii="宋体" w:hAnsi="宋体"/>
          <w:szCs w:val="21"/>
        </w:rPr>
      </w:pPr>
      <w:r>
        <w:rPr>
          <w:rFonts w:hint="eastAsia"/>
          <w:szCs w:val="21"/>
        </w:rPr>
        <w:t>本公司保证承担贵方任何因此导致的一切损失、风险、责任和费用</w:t>
      </w:r>
      <w:r>
        <w:rPr>
          <w:rFonts w:ascii="宋体" w:hAnsi="宋体" w:hint="eastAsia"/>
          <w:szCs w:val="21"/>
        </w:rPr>
        <w:t>（包括但不限于经法院判决或仲裁裁决或行政当局决定由</w:t>
      </w:r>
      <w:r>
        <w:rPr>
          <w:rFonts w:ascii="Arial" w:hAnsi="Arial" w:cs="Arial" w:hint="eastAsia"/>
          <w:szCs w:val="21"/>
        </w:rPr>
        <w:t>贵方和</w:t>
      </w:r>
      <w:r>
        <w:rPr>
          <w:rFonts w:ascii="Arial" w:hAnsi="Arial" w:cs="Arial"/>
          <w:szCs w:val="21"/>
        </w:rPr>
        <w:t>/</w:t>
      </w:r>
      <w:r>
        <w:rPr>
          <w:rFonts w:ascii="Arial" w:hAnsi="Arial" w:cs="Arial" w:hint="eastAsia"/>
          <w:szCs w:val="21"/>
        </w:rPr>
        <w:t>或贵方代理人、受托人、受雇人</w:t>
      </w:r>
      <w:r>
        <w:rPr>
          <w:rFonts w:ascii="宋体" w:hAnsi="宋体" w:hint="eastAsia"/>
          <w:szCs w:val="21"/>
        </w:rPr>
        <w:t>承担的财产损失、人身伤亡赔偿责任及其利息、罚款、罚金、诉讼费或仲裁费、调查费、对方律师费及</w:t>
      </w:r>
      <w:r>
        <w:rPr>
          <w:rFonts w:ascii="Arial" w:hAnsi="Arial" w:cs="Arial" w:hint="eastAsia"/>
          <w:szCs w:val="21"/>
        </w:rPr>
        <w:t>贵方或贵方代理人、受托人、受雇人</w:t>
      </w:r>
      <w:r>
        <w:rPr>
          <w:rFonts w:ascii="宋体" w:hAnsi="宋体" w:hint="eastAsia"/>
          <w:szCs w:val="21"/>
        </w:rPr>
        <w:t>因处理索赔或接受调查、进行申辩而支出的律师费等）均由本公司承担。</w:t>
      </w:r>
    </w:p>
    <w:p w14:paraId="40C09E3F" w14:textId="238A4A00" w:rsidR="001A6424" w:rsidRDefault="00000000" w:rsidP="00F63C78">
      <w:pPr>
        <w:ind w:firstLineChars="200" w:firstLine="420"/>
        <w:rPr>
          <w:rFonts w:ascii="宋体" w:hAnsi="宋体"/>
          <w:szCs w:val="21"/>
        </w:rPr>
      </w:pPr>
      <w:r>
        <w:rPr>
          <w:rFonts w:ascii="Arial" w:hAnsi="Arial" w:cs="Arial" w:hint="eastAsia"/>
          <w:szCs w:val="21"/>
        </w:rPr>
        <w:t>本公司特此确认</w:t>
      </w:r>
      <w:r>
        <w:rPr>
          <w:rFonts w:ascii="宋体" w:hAnsi="宋体" w:hint="eastAsia"/>
          <w:szCs w:val="21"/>
        </w:rPr>
        <w:t>，因本保函而发生的纠纷，</w:t>
      </w:r>
      <w:r>
        <w:rPr>
          <w:rFonts w:ascii="Arial" w:hAnsi="Arial" w:cs="Arial" w:hint="eastAsia"/>
          <w:szCs w:val="21"/>
        </w:rPr>
        <w:t>贵方</w:t>
      </w:r>
      <w:r>
        <w:rPr>
          <w:rFonts w:ascii="宋体" w:hAnsi="宋体" w:hint="eastAsia"/>
          <w:szCs w:val="21"/>
        </w:rPr>
        <w:t>有权对管辖法院和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或前述法律适用另行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选择。</w:t>
      </w:r>
    </w:p>
    <w:p w14:paraId="38D6F7EA" w14:textId="645A64C3" w:rsidR="001A6424" w:rsidRDefault="00000000" w:rsidP="00F63C78">
      <w:pPr>
        <w:rPr>
          <w:rFonts w:eastAsia="PMingLiU"/>
        </w:rPr>
      </w:pPr>
      <w:r>
        <w:rPr>
          <w:rFonts w:ascii="PMingLiU" w:eastAsia="等线" w:hAnsi="PMingLiU"/>
        </w:rPr>
        <w:t xml:space="preserve">    </w:t>
      </w:r>
      <w:r>
        <w:rPr>
          <w:rFonts w:eastAsia="等线" w:hint="eastAsia"/>
        </w:rPr>
        <w:t>如本保函为中英文本。如中文和英文有任何不一致，将以中文为准</w:t>
      </w:r>
      <w:r>
        <w:rPr>
          <w:rFonts w:eastAsia="等线"/>
        </w:rPr>
        <w:t>。</w:t>
      </w:r>
    </w:p>
    <w:p w14:paraId="29F1AD1E" w14:textId="77777777" w:rsidR="001A6424" w:rsidRDefault="001A6424"/>
    <w:p w14:paraId="378B1AF6" w14:textId="77777777" w:rsidR="001A6424" w:rsidRDefault="00000000">
      <w:pPr>
        <w:autoSpaceDE w:val="0"/>
        <w:autoSpaceDN w:val="0"/>
        <w:adjustRightInd w:val="0"/>
        <w:spacing w:beforeLines="30" w:before="93"/>
        <w:ind w:left="1680" w:hangingChars="800" w:hanging="168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托运人公司名称</w:t>
      </w:r>
      <w:r>
        <w:rPr>
          <w:rFonts w:ascii="宋体" w:hAnsi="宋体"/>
          <w:szCs w:val="21"/>
        </w:rPr>
        <w:t>:</w:t>
      </w:r>
      <w:r>
        <w:rPr>
          <w:rFonts w:ascii="Arial" w:hAnsi="Arial" w:cs="Arial"/>
          <w:kern w:val="0"/>
          <w:szCs w:val="21"/>
          <w:u w:val="single"/>
        </w:rPr>
        <w:t xml:space="preserve">                            </w:t>
      </w:r>
      <w:r>
        <w:rPr>
          <w:rFonts w:ascii="宋体" w:hAnsi="宋体" w:hint="eastAsia"/>
          <w:szCs w:val="21"/>
        </w:rPr>
        <w:t>（公章）</w:t>
      </w:r>
    </w:p>
    <w:p w14:paraId="6E9618A5" w14:textId="77777777" w:rsidR="001A6424" w:rsidRDefault="001A6424">
      <w:pPr>
        <w:spacing w:line="420" w:lineRule="exact"/>
        <w:rPr>
          <w:rFonts w:ascii="宋体" w:hAnsi="宋体"/>
          <w:szCs w:val="21"/>
        </w:rPr>
      </w:pPr>
    </w:p>
    <w:p w14:paraId="0F3C6483" w14:textId="77777777" w:rsidR="001A6424" w:rsidRDefault="00000000">
      <w:pPr>
        <w:autoSpaceDE w:val="0"/>
        <w:autoSpaceDN w:val="0"/>
        <w:adjustRightInd w:val="0"/>
        <w:spacing w:beforeLines="30" w:before="93"/>
        <w:ind w:left="1680" w:hangingChars="800" w:hanging="168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托运人公司负责人：</w:t>
      </w:r>
      <w:r>
        <w:rPr>
          <w:rFonts w:ascii="Arial" w:hAnsi="Arial" w:cs="Arial"/>
          <w:kern w:val="0"/>
          <w:szCs w:val="21"/>
          <w:u w:val="single"/>
        </w:rPr>
        <w:t xml:space="preserve">                         </w:t>
      </w:r>
      <w:r>
        <w:rPr>
          <w:rFonts w:ascii="宋体" w:hAnsi="宋体" w:hint="eastAsia"/>
          <w:szCs w:val="21"/>
        </w:rPr>
        <w:t>（签名）</w:t>
      </w:r>
    </w:p>
    <w:p w14:paraId="1AE89EBA" w14:textId="77777777" w:rsidR="001A6424" w:rsidRDefault="001A6424">
      <w:pPr>
        <w:spacing w:line="420" w:lineRule="exact"/>
        <w:ind w:firstLine="990"/>
        <w:rPr>
          <w:rFonts w:ascii="宋体" w:hAnsi="宋体"/>
          <w:szCs w:val="21"/>
        </w:rPr>
      </w:pPr>
    </w:p>
    <w:p w14:paraId="691E14B1" w14:textId="77777777" w:rsidR="001A6424" w:rsidRDefault="00000000">
      <w:pPr>
        <w:autoSpaceDE w:val="0"/>
        <w:autoSpaceDN w:val="0"/>
        <w:adjustRightInd w:val="0"/>
        <w:spacing w:beforeLines="30" w:before="93"/>
        <w:ind w:left="1680" w:hangingChars="800" w:hanging="1680"/>
        <w:jc w:val="left"/>
        <w:rPr>
          <w:rFonts w:ascii="宋体" w:eastAsia="PMingLiU" w:hAnsi="Arial" w:cs="Arial"/>
          <w:kern w:val="0"/>
          <w:szCs w:val="21"/>
        </w:rPr>
      </w:pPr>
      <w:r>
        <w:rPr>
          <w:rFonts w:ascii="宋体" w:hAnsi="宋体" w:hint="eastAsia"/>
          <w:szCs w:val="21"/>
        </w:rPr>
        <w:t>经营地址</w:t>
      </w:r>
      <w:r>
        <w:rPr>
          <w:rFonts w:ascii="宋体" w:hAnsi="宋体"/>
          <w:szCs w:val="21"/>
        </w:rPr>
        <w:t>:</w:t>
      </w:r>
      <w:r>
        <w:rPr>
          <w:rFonts w:ascii="Arial" w:hAnsi="Arial" w:cs="Arial"/>
          <w:kern w:val="0"/>
          <w:szCs w:val="21"/>
          <w:u w:val="single"/>
        </w:rPr>
        <w:t xml:space="preserve">                                         </w:t>
      </w:r>
    </w:p>
    <w:p w14:paraId="420CC34F" w14:textId="77777777" w:rsidR="001A6424" w:rsidRDefault="00000000">
      <w:pPr>
        <w:autoSpaceDE w:val="0"/>
        <w:autoSpaceDN w:val="0"/>
        <w:adjustRightInd w:val="0"/>
        <w:spacing w:beforeLines="30" w:before="93"/>
        <w:ind w:left="1680" w:hangingChars="800" w:hanging="1680"/>
        <w:jc w:val="left"/>
        <w:rPr>
          <w:rFonts w:ascii="宋体" w:eastAsia="PMingLiU" w:hAnsi="Arial" w:cs="Arial"/>
          <w:kern w:val="0"/>
          <w:szCs w:val="21"/>
        </w:rPr>
      </w:pPr>
      <w:r>
        <w:rPr>
          <w:rFonts w:ascii="宋体" w:hAnsi="宋体" w:hint="eastAsia"/>
          <w:szCs w:val="21"/>
        </w:rPr>
        <w:t>电话</w:t>
      </w:r>
      <w:r>
        <w:rPr>
          <w:rFonts w:ascii="宋体" w:hAnsi="宋体"/>
          <w:szCs w:val="21"/>
        </w:rPr>
        <w:t>:</w:t>
      </w:r>
      <w:r>
        <w:rPr>
          <w:rFonts w:ascii="Arial" w:hAnsi="Arial" w:cs="Arial"/>
          <w:kern w:val="0"/>
          <w:szCs w:val="21"/>
          <w:u w:val="single"/>
        </w:rPr>
        <w:t xml:space="preserve">                        </w:t>
      </w:r>
    </w:p>
    <w:p w14:paraId="7EAD94F2" w14:textId="77777777" w:rsidR="001A6424" w:rsidRDefault="00000000">
      <w:pPr>
        <w:spacing w:line="420" w:lineRule="exact"/>
        <w:ind w:firstLine="990"/>
        <w:rPr>
          <w:rFonts w:ascii="Times New Roman" w:eastAsia="宋体" w:hAnsi="Times New Roman" w:cs="Times New Roman"/>
          <w:szCs w:val="21"/>
        </w:rPr>
      </w:pPr>
      <w:r>
        <w:rPr>
          <w:rFonts w:ascii="宋体" w:hAnsi="宋体"/>
          <w:szCs w:val="21"/>
        </w:rPr>
        <w:t xml:space="preserve">              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>日</w:t>
      </w:r>
    </w:p>
    <w:bookmarkEnd w:id="0"/>
    <w:p w14:paraId="643813A7" w14:textId="77777777" w:rsidR="001A6424" w:rsidRDefault="001A6424"/>
    <w:sectPr w:rsidR="001A642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A10B" w14:textId="77777777" w:rsidR="00485682" w:rsidRDefault="00485682">
      <w:r>
        <w:separator/>
      </w:r>
    </w:p>
  </w:endnote>
  <w:endnote w:type="continuationSeparator" w:id="0">
    <w:p w14:paraId="7B5024C0" w14:textId="77777777" w:rsidR="00485682" w:rsidRDefault="0048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9860" w14:textId="77777777" w:rsidR="00485682" w:rsidRDefault="00485682">
      <w:r>
        <w:separator/>
      </w:r>
    </w:p>
  </w:footnote>
  <w:footnote w:type="continuationSeparator" w:id="0">
    <w:p w14:paraId="7DD7C3D6" w14:textId="77777777" w:rsidR="00485682" w:rsidRDefault="0048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B8F8" w14:textId="77777777" w:rsidR="001A6424" w:rsidRDefault="00000000">
    <w:pPr>
      <w:pStyle w:val="a9"/>
    </w:pPr>
    <w:r>
      <w:rPr>
        <w:rFonts w:hint="eastAsia"/>
      </w:rPr>
      <w:t>托运人公司全称</w:t>
    </w:r>
  </w:p>
  <w:p w14:paraId="6394EBF7" w14:textId="77777777" w:rsidR="001A6424" w:rsidRDefault="001A642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1YmQ4Y2NlZTU2MDYzZjlkOWE4MTNiNGY4NzkyOGEifQ=="/>
  </w:docVars>
  <w:rsids>
    <w:rsidRoot w:val="002E250D"/>
    <w:rsid w:val="000A1F3B"/>
    <w:rsid w:val="000F1E66"/>
    <w:rsid w:val="001A6424"/>
    <w:rsid w:val="00234252"/>
    <w:rsid w:val="00253981"/>
    <w:rsid w:val="002A32C2"/>
    <w:rsid w:val="002B4E59"/>
    <w:rsid w:val="002E250D"/>
    <w:rsid w:val="00311E5C"/>
    <w:rsid w:val="003148D3"/>
    <w:rsid w:val="00374D7F"/>
    <w:rsid w:val="003B04F0"/>
    <w:rsid w:val="003F7DF0"/>
    <w:rsid w:val="00423264"/>
    <w:rsid w:val="00453763"/>
    <w:rsid w:val="00485682"/>
    <w:rsid w:val="00536414"/>
    <w:rsid w:val="00565EA0"/>
    <w:rsid w:val="00584EC3"/>
    <w:rsid w:val="0060424A"/>
    <w:rsid w:val="00640855"/>
    <w:rsid w:val="00670D2C"/>
    <w:rsid w:val="006A1292"/>
    <w:rsid w:val="006B734F"/>
    <w:rsid w:val="006C5ED8"/>
    <w:rsid w:val="0070681B"/>
    <w:rsid w:val="0075676D"/>
    <w:rsid w:val="0077382D"/>
    <w:rsid w:val="007D2C90"/>
    <w:rsid w:val="00814E7C"/>
    <w:rsid w:val="00831DF0"/>
    <w:rsid w:val="00853792"/>
    <w:rsid w:val="008C02F8"/>
    <w:rsid w:val="008D3E58"/>
    <w:rsid w:val="00916258"/>
    <w:rsid w:val="009B6887"/>
    <w:rsid w:val="00A16413"/>
    <w:rsid w:val="00BC7819"/>
    <w:rsid w:val="00C81E66"/>
    <w:rsid w:val="00D1219B"/>
    <w:rsid w:val="00D546D9"/>
    <w:rsid w:val="00DC04C6"/>
    <w:rsid w:val="00E33897"/>
    <w:rsid w:val="00E44BF1"/>
    <w:rsid w:val="00EF3893"/>
    <w:rsid w:val="00F63C78"/>
    <w:rsid w:val="00FF6CBF"/>
    <w:rsid w:val="3E3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F8136"/>
  <w15:docId w15:val="{9D73BC19-B730-4407-B92C-E9DA3A02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e">
    <w:name w:val="No Spacing"/>
    <w:basedOn w:val="a"/>
    <w:uiPriority w:val="1"/>
    <w:qFormat/>
    <w:pPr>
      <w:widowControl/>
      <w:jc w:val="left"/>
    </w:pPr>
    <w:rPr>
      <w:rFonts w:ascii="Calibri" w:hAnsi="Calibri" w:cs="Calibri"/>
      <w:kern w:val="0"/>
      <w:sz w:val="22"/>
      <w:lang w:eastAsia="en-US"/>
    </w:rPr>
  </w:style>
  <w:style w:type="paragraph" w:styleId="af">
    <w:name w:val="List Paragraph"/>
    <w:basedOn w:val="a"/>
    <w:uiPriority w:val="34"/>
    <w:qFormat/>
    <w:pPr>
      <w:widowControl/>
      <w:spacing w:after="160" w:line="259" w:lineRule="auto"/>
      <w:ind w:left="720"/>
      <w:contextualSpacing/>
      <w:jc w:val="left"/>
    </w:pPr>
    <w:rPr>
      <w:rFonts w:ascii="Times New Roman" w:hAnsi="Times New Roman" w:cs="Simplified Arabic"/>
      <w:kern w:val="0"/>
      <w:sz w:val="24"/>
      <w:szCs w:val="28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Revision"/>
    <w:hidden/>
    <w:uiPriority w:val="99"/>
    <w:semiHidden/>
    <w:rsid w:val="00F63C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26784-16A0-4F3B-8395-971DA05C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YMSHA-CBAB  J.GM Raymond Zhuang 庄磊</dc:creator>
  <cp:lastModifiedBy>YMSHA-CBAB  J.GM Raymond Zhuang 庄磊</cp:lastModifiedBy>
  <cp:revision>2</cp:revision>
  <dcterms:created xsi:type="dcterms:W3CDTF">2022-11-10T02:01:00Z</dcterms:created>
  <dcterms:modified xsi:type="dcterms:W3CDTF">2022-11-10T02:01:00Z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D234665B02864310A006A0B701A54A1F</vt:lpwstr>
  </property>
</Properties>
</file>